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3vac5uf" w:id="0"/>
      <w:bookmarkEnd w:id="0"/>
      <w:r w:rsidDel="00000000" w:rsidR="00000000" w:rsidRPr="00000000">
        <w:rPr>
          <w:rtl w:val="0"/>
        </w:rPr>
        <w:t xml:space="preserve">SAFE WORK PRACTICE</w:t>
      </w:r>
    </w:p>
    <w:p w:rsidR="00000000" w:rsidDel="00000000" w:rsidP="00000000" w:rsidRDefault="00000000" w:rsidRPr="00000000" w14:paraId="00000002">
      <w:pPr>
        <w:widowControl w:val="1"/>
        <w:rPr>
          <w:highlight w:val="yellow"/>
        </w:rPr>
      </w:pPr>
      <w:r w:rsidDel="00000000" w:rsidR="00000000" w:rsidRPr="00000000">
        <w:rPr>
          <w:rtl w:val="0"/>
        </w:rPr>
      </w:r>
    </w:p>
    <w:p w:rsidR="00000000" w:rsidDel="00000000" w:rsidP="00000000" w:rsidRDefault="00000000" w:rsidRPr="00000000" w14:paraId="00000003">
      <w:pPr>
        <w:widowControl w:val="1"/>
        <w:spacing w:after="160" w:lineRule="auto"/>
        <w:jc w:val="both"/>
        <w:rPr>
          <w:sz w:val="26"/>
          <w:szCs w:val="26"/>
        </w:rPr>
      </w:pPr>
      <w:r w:rsidDel="00000000" w:rsidR="00000000" w:rsidRPr="00000000">
        <w:rPr>
          <w:b w:val="1"/>
          <w:sz w:val="24"/>
          <w:szCs w:val="24"/>
          <w:rtl w:val="0"/>
        </w:rPr>
        <w:t xml:space="preserve">Purpose </w:t>
      </w:r>
      <w:r w:rsidDel="00000000" w:rsidR="00000000" w:rsidRPr="00000000">
        <w:rPr>
          <w:rtl w:val="0"/>
        </w:rPr>
      </w:r>
    </w:p>
    <w:p w:rsidR="00000000" w:rsidDel="00000000" w:rsidP="00000000" w:rsidRDefault="00000000" w:rsidRPr="00000000" w14:paraId="00000004">
      <w:pPr>
        <w:widowControl w:val="1"/>
        <w:spacing w:after="120" w:before="42" w:lineRule="auto"/>
        <w:jc w:val="both"/>
        <w:rPr>
          <w:sz w:val="24"/>
          <w:szCs w:val="24"/>
        </w:rPr>
      </w:pPr>
      <w:r w:rsidDel="00000000" w:rsidR="00000000" w:rsidRPr="00000000">
        <w:rPr>
          <w:rtl w:val="0"/>
        </w:rPr>
        <w:t xml:space="preserve">The purpose of this section is to ensure that all work tasks regularly performed by the workers have safe work practices/procedures; to control hazards and to eliminate or reduce workplace injuries or illnesses.  </w:t>
      </w:r>
      <w:r w:rsidDel="00000000" w:rsidR="00000000" w:rsidRPr="00000000">
        <w:rPr>
          <w:rtl w:val="0"/>
        </w:rPr>
      </w:r>
    </w:p>
    <w:p w:rsidR="00000000" w:rsidDel="00000000" w:rsidP="00000000" w:rsidRDefault="00000000" w:rsidRPr="00000000" w14:paraId="00000005">
      <w:pPr>
        <w:widowControl w:val="1"/>
        <w:jc w:val="both"/>
        <w:rPr>
          <w:sz w:val="26"/>
          <w:szCs w:val="26"/>
        </w:rPr>
      </w:pPr>
      <w:r w:rsidDel="00000000" w:rsidR="00000000" w:rsidRPr="00000000">
        <w:rPr>
          <w:b w:val="1"/>
          <w:sz w:val="24"/>
          <w:szCs w:val="24"/>
          <w:rtl w:val="0"/>
        </w:rPr>
        <w:t xml:space="preserve">Scope</w:t>
      </w:r>
      <w:r w:rsidDel="00000000" w:rsidR="00000000" w:rsidRPr="00000000">
        <w:rPr>
          <w:rtl w:val="0"/>
        </w:rPr>
      </w:r>
    </w:p>
    <w:p w:rsidR="00000000" w:rsidDel="00000000" w:rsidP="00000000" w:rsidRDefault="00000000" w:rsidRPr="00000000" w14:paraId="00000006">
      <w:pPr>
        <w:widowControl w:val="1"/>
        <w:rPr>
          <w:sz w:val="24"/>
          <w:szCs w:val="24"/>
        </w:rPr>
      </w:pPr>
      <w:r w:rsidDel="00000000" w:rsidR="00000000" w:rsidRPr="00000000">
        <w:rPr>
          <w:rtl w:val="0"/>
        </w:rPr>
      </w:r>
    </w:p>
    <w:p w:rsidR="00000000" w:rsidDel="00000000" w:rsidP="00000000" w:rsidRDefault="00000000" w:rsidRPr="00000000" w14:paraId="00000007">
      <w:pPr>
        <w:widowControl w:val="1"/>
        <w:jc w:val="both"/>
        <w:rPr>
          <w:sz w:val="24"/>
          <w:szCs w:val="24"/>
        </w:rPr>
      </w:pPr>
      <w:r w:rsidDel="00000000" w:rsidR="00000000" w:rsidRPr="00000000">
        <w:rPr>
          <w:rtl w:val="0"/>
        </w:rPr>
        <w:t xml:space="preserve">This policy applies to all managers, workers and contractors.</w:t>
      </w:r>
      <w:r w:rsidDel="00000000" w:rsidR="00000000" w:rsidRPr="00000000">
        <w:rPr>
          <w:rtl w:val="0"/>
        </w:rPr>
      </w:r>
    </w:p>
    <w:p w:rsidR="00000000" w:rsidDel="00000000" w:rsidP="00000000" w:rsidRDefault="00000000" w:rsidRPr="00000000" w14:paraId="00000008">
      <w:pPr>
        <w:widowControl w:val="1"/>
        <w:rPr>
          <w:sz w:val="24"/>
          <w:szCs w:val="24"/>
        </w:rPr>
      </w:pPr>
      <w:r w:rsidDel="00000000" w:rsidR="00000000" w:rsidRPr="00000000">
        <w:rPr>
          <w:rtl w:val="0"/>
        </w:rPr>
      </w:r>
    </w:p>
    <w:p w:rsidR="00000000" w:rsidDel="00000000" w:rsidP="00000000" w:rsidRDefault="00000000" w:rsidRPr="00000000" w14:paraId="00000009">
      <w:pPr>
        <w:widowControl w:val="1"/>
        <w:jc w:val="both"/>
        <w:rPr>
          <w:sz w:val="26"/>
          <w:szCs w:val="26"/>
        </w:rPr>
      </w:pPr>
      <w:r w:rsidDel="00000000" w:rsidR="00000000" w:rsidRPr="00000000">
        <w:rPr>
          <w:b w:val="1"/>
          <w:sz w:val="24"/>
          <w:szCs w:val="24"/>
          <w:rtl w:val="0"/>
        </w:rPr>
        <w:t xml:space="preserve">Definitions </w:t>
      </w:r>
      <w:r w:rsidDel="00000000" w:rsidR="00000000" w:rsidRPr="00000000">
        <w:rPr>
          <w:rtl w:val="0"/>
        </w:rPr>
      </w:r>
    </w:p>
    <w:p w:rsidR="00000000" w:rsidDel="00000000" w:rsidP="00000000" w:rsidRDefault="00000000" w:rsidRPr="00000000" w14:paraId="0000000A">
      <w:pPr>
        <w:widowControl w:val="1"/>
        <w:rPr>
          <w:sz w:val="24"/>
          <w:szCs w:val="24"/>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3"/>
        <w:gridCol w:w="8757"/>
        <w:tblGridChange w:id="0">
          <w:tblGrid>
            <w:gridCol w:w="1323"/>
            <w:gridCol w:w="8757"/>
          </w:tblGrid>
        </w:tblGridChange>
      </w:tblGrid>
      <w:tr>
        <w:trPr>
          <w:cantSplit w:val="0"/>
          <w:tblHeader w:val="0"/>
        </w:trPr>
        <w:tc>
          <w:tcPr>
            <w:shd w:fill="ffffff" w:val="clear"/>
          </w:tcPr>
          <w:p w:rsidR="00000000" w:rsidDel="00000000" w:rsidP="00000000" w:rsidRDefault="00000000" w:rsidRPr="00000000" w14:paraId="0000000B">
            <w:pPr>
              <w:widowControl w:val="1"/>
              <w:spacing w:after="160" w:lineRule="auto"/>
              <w:rPr>
                <w:sz w:val="24"/>
                <w:szCs w:val="24"/>
              </w:rPr>
            </w:pPr>
            <w:r w:rsidDel="00000000" w:rsidR="00000000" w:rsidRPr="00000000">
              <w:rPr>
                <w:b w:val="1"/>
                <w:rtl w:val="0"/>
              </w:rPr>
              <w:t xml:space="preserve">Safe Work Practices</w:t>
            </w:r>
            <w:r w:rsidDel="00000000" w:rsidR="00000000" w:rsidRPr="00000000">
              <w:rPr>
                <w:rtl w:val="0"/>
              </w:rPr>
            </w:r>
          </w:p>
        </w:tc>
        <w:tc>
          <w:tcPr>
            <w:shd w:fill="ffffff" w:val="clear"/>
          </w:tcPr>
          <w:p w:rsidR="00000000" w:rsidDel="00000000" w:rsidP="00000000" w:rsidRDefault="00000000" w:rsidRPr="00000000" w14:paraId="0000000C">
            <w:pPr>
              <w:widowControl w:val="1"/>
              <w:spacing w:before="26" w:lineRule="auto"/>
              <w:jc w:val="both"/>
              <w:rPr>
                <w:sz w:val="24"/>
                <w:szCs w:val="24"/>
              </w:rPr>
            </w:pPr>
            <w:r w:rsidDel="00000000" w:rsidR="00000000" w:rsidRPr="00000000">
              <w:rPr>
                <w:rtl w:val="0"/>
              </w:rPr>
              <w:t xml:space="preserve">SWP are generally written methods outlining how to perform a task with minimum risk to people, equipment, materials, environment, and processes. Safe job procedures are a series of specific steps that guide a worker through a task from start to finish in a chronological order.</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D">
            <w:pPr>
              <w:widowControl w:val="1"/>
              <w:rPr>
                <w:sz w:val="24"/>
                <w:szCs w:val="24"/>
              </w:rPr>
            </w:pPr>
            <w:r w:rsidDel="00000000" w:rsidR="00000000" w:rsidRPr="00000000">
              <w:rPr>
                <w:rtl w:val="0"/>
              </w:rPr>
            </w:r>
          </w:p>
          <w:p w:rsidR="00000000" w:rsidDel="00000000" w:rsidP="00000000" w:rsidRDefault="00000000" w:rsidRPr="00000000" w14:paraId="0000000E">
            <w:pPr>
              <w:widowControl w:val="1"/>
              <w:spacing w:after="160" w:lineRule="auto"/>
              <w:rPr>
                <w:sz w:val="24"/>
                <w:szCs w:val="24"/>
              </w:rPr>
            </w:pPr>
            <w:r w:rsidDel="00000000" w:rsidR="00000000" w:rsidRPr="00000000">
              <w:rPr>
                <w:b w:val="1"/>
                <w:rtl w:val="0"/>
              </w:rPr>
              <w:t xml:space="preserve">Competent  </w:t>
            </w:r>
            <w:r w:rsidDel="00000000" w:rsidR="00000000" w:rsidRPr="00000000">
              <w:rPr>
                <w:rtl w:val="0"/>
              </w:rPr>
            </w:r>
          </w:p>
        </w:tc>
        <w:tc>
          <w:tcPr>
            <w:shd w:fill="ffffff" w:val="clear"/>
          </w:tcPr>
          <w:p w:rsidR="00000000" w:rsidDel="00000000" w:rsidP="00000000" w:rsidRDefault="00000000" w:rsidRPr="00000000" w14:paraId="0000000F">
            <w:pPr>
              <w:widowControl w:val="1"/>
              <w:rPr>
                <w:sz w:val="24"/>
                <w:szCs w:val="24"/>
              </w:rPr>
            </w:pPr>
            <w:r w:rsidDel="00000000" w:rsidR="00000000" w:rsidRPr="00000000">
              <w:rPr>
                <w:rtl w:val="0"/>
              </w:rPr>
            </w:r>
          </w:p>
          <w:p w:rsidR="00000000" w:rsidDel="00000000" w:rsidP="00000000" w:rsidRDefault="00000000" w:rsidRPr="00000000" w14:paraId="00000010">
            <w:pPr>
              <w:widowControl w:val="1"/>
              <w:spacing w:after="120" w:before="6" w:lineRule="auto"/>
              <w:jc w:val="both"/>
              <w:rPr>
                <w:sz w:val="24"/>
                <w:szCs w:val="24"/>
              </w:rPr>
            </w:pPr>
            <w:r w:rsidDel="00000000" w:rsidR="00000000" w:rsidRPr="00000000">
              <w:rPr>
                <w:rtl w:val="0"/>
              </w:rPr>
              <w:t xml:space="preserve">In relation to a person, means adequately qualified, suitably trained and with sufficient experience to safely perform work without supervision or with only a minimal degree of supervision</w:t>
            </w:r>
            <w:r w:rsidDel="00000000" w:rsidR="00000000" w:rsidRPr="00000000">
              <w:rPr>
                <w:rtl w:val="0"/>
              </w:rPr>
            </w:r>
          </w:p>
        </w:tc>
      </w:tr>
    </w:tbl>
    <w:p w:rsidR="00000000" w:rsidDel="00000000" w:rsidP="00000000" w:rsidRDefault="00000000" w:rsidRPr="00000000" w14:paraId="00000011">
      <w:pPr>
        <w:widowControl w:val="1"/>
        <w:jc w:val="both"/>
        <w:rPr>
          <w:sz w:val="26"/>
          <w:szCs w:val="26"/>
        </w:rPr>
      </w:pPr>
      <w:r w:rsidDel="00000000" w:rsidR="00000000" w:rsidRPr="00000000">
        <w:rPr>
          <w:b w:val="1"/>
          <w:sz w:val="24"/>
          <w:szCs w:val="24"/>
          <w:rtl w:val="0"/>
        </w:rPr>
        <w:t xml:space="preserve">Responsibilities</w:t>
      </w:r>
      <w:r w:rsidDel="00000000" w:rsidR="00000000" w:rsidRPr="00000000">
        <w:rPr>
          <w:rtl w:val="0"/>
        </w:rPr>
      </w:r>
    </w:p>
    <w:p w:rsidR="00000000" w:rsidDel="00000000" w:rsidP="00000000" w:rsidRDefault="00000000" w:rsidRPr="00000000" w14:paraId="00000012">
      <w:pPr>
        <w:widowControl w:val="1"/>
        <w:rPr>
          <w:sz w:val="24"/>
          <w:szCs w:val="24"/>
        </w:rPr>
      </w:pPr>
      <w:r w:rsidDel="00000000" w:rsidR="00000000" w:rsidRPr="00000000">
        <w:rPr>
          <w:rtl w:val="0"/>
        </w:rPr>
      </w:r>
    </w:p>
    <w:p w:rsidR="00000000" w:rsidDel="00000000" w:rsidP="00000000" w:rsidRDefault="00000000" w:rsidRPr="00000000" w14:paraId="00000013">
      <w:pPr>
        <w:widowControl w:val="1"/>
        <w:spacing w:after="160" w:lineRule="auto"/>
        <w:ind w:left="0" w:firstLine="0"/>
        <w:jc w:val="both"/>
        <w:rPr>
          <w:sz w:val="24"/>
          <w:szCs w:val="24"/>
          <w:u w:val="single"/>
        </w:rPr>
      </w:pPr>
      <w:r w:rsidDel="00000000" w:rsidR="00000000" w:rsidRPr="00000000">
        <w:rPr>
          <w:u w:val="single"/>
          <w:rtl w:val="0"/>
        </w:rPr>
        <w:t xml:space="preserve">Management </w:t>
      </w:r>
      <w:r w:rsidDel="00000000" w:rsidR="00000000" w:rsidRPr="00000000">
        <w:rPr>
          <w:rtl w:val="0"/>
        </w:rPr>
      </w:r>
    </w:p>
    <w:p w:rsidR="00000000" w:rsidDel="00000000" w:rsidP="00000000" w:rsidRDefault="00000000" w:rsidRPr="00000000" w14:paraId="00000014">
      <w:pPr>
        <w:widowControl w:val="1"/>
        <w:numPr>
          <w:ilvl w:val="0"/>
          <w:numId w:val="6"/>
        </w:numPr>
        <w:spacing w:before="20" w:lineRule="auto"/>
        <w:ind w:left="720" w:hanging="360"/>
        <w:rPr>
          <w:rFonts w:ascii="Calibri" w:cs="Calibri" w:eastAsia="Calibri" w:hAnsi="Calibri"/>
        </w:rPr>
      </w:pPr>
      <w:r w:rsidDel="00000000" w:rsidR="00000000" w:rsidRPr="00000000">
        <w:rPr>
          <w:rtl w:val="0"/>
        </w:rPr>
        <w:t xml:space="preserve">Identify workplace tasks regularly performed.</w:t>
      </w:r>
      <w:r w:rsidDel="00000000" w:rsidR="00000000" w:rsidRPr="00000000">
        <w:rPr>
          <w:rtl w:val="0"/>
        </w:rPr>
      </w:r>
    </w:p>
    <w:p w:rsidR="00000000" w:rsidDel="00000000" w:rsidP="00000000" w:rsidRDefault="00000000" w:rsidRPr="00000000" w14:paraId="00000015">
      <w:pPr>
        <w:widowControl w:val="1"/>
        <w:numPr>
          <w:ilvl w:val="0"/>
          <w:numId w:val="6"/>
        </w:numPr>
        <w:ind w:left="720" w:hanging="360"/>
        <w:rPr>
          <w:rFonts w:ascii="Calibri" w:cs="Calibri" w:eastAsia="Calibri" w:hAnsi="Calibri"/>
        </w:rPr>
      </w:pPr>
      <w:r w:rsidDel="00000000" w:rsidR="00000000" w:rsidRPr="00000000">
        <w:rPr>
          <w:rtl w:val="0"/>
        </w:rPr>
        <w:t xml:space="preserve">Develop safe work practices and procedures for identified tasks.</w:t>
      </w:r>
      <w:r w:rsidDel="00000000" w:rsidR="00000000" w:rsidRPr="00000000">
        <w:rPr>
          <w:rtl w:val="0"/>
        </w:rPr>
      </w:r>
    </w:p>
    <w:p w:rsidR="00000000" w:rsidDel="00000000" w:rsidP="00000000" w:rsidRDefault="00000000" w:rsidRPr="00000000" w14:paraId="00000016">
      <w:pPr>
        <w:widowControl w:val="1"/>
        <w:numPr>
          <w:ilvl w:val="0"/>
          <w:numId w:val="6"/>
        </w:numPr>
        <w:ind w:left="720" w:hanging="360"/>
        <w:rPr>
          <w:rFonts w:ascii="Calibri" w:cs="Calibri" w:eastAsia="Calibri" w:hAnsi="Calibri"/>
        </w:rPr>
      </w:pPr>
      <w:r w:rsidDel="00000000" w:rsidR="00000000" w:rsidRPr="00000000">
        <w:rPr>
          <w:rtl w:val="0"/>
        </w:rPr>
        <w:t xml:space="preserve">Ensure safe work practices and procedures are communicated to all workers.</w:t>
      </w:r>
      <w:r w:rsidDel="00000000" w:rsidR="00000000" w:rsidRPr="00000000">
        <w:rPr>
          <w:rtl w:val="0"/>
        </w:rPr>
      </w:r>
    </w:p>
    <w:p w:rsidR="00000000" w:rsidDel="00000000" w:rsidP="00000000" w:rsidRDefault="00000000" w:rsidRPr="00000000" w14:paraId="00000017">
      <w:pPr>
        <w:widowControl w:val="1"/>
        <w:numPr>
          <w:ilvl w:val="0"/>
          <w:numId w:val="6"/>
        </w:numPr>
        <w:ind w:left="720" w:right="395" w:hanging="360"/>
        <w:rPr>
          <w:rFonts w:ascii="Calibri" w:cs="Calibri" w:eastAsia="Calibri" w:hAnsi="Calibri"/>
        </w:rPr>
      </w:pPr>
      <w:r w:rsidDel="00000000" w:rsidR="00000000" w:rsidRPr="00000000">
        <w:rPr>
          <w:rtl w:val="0"/>
        </w:rPr>
        <w:t xml:space="preserve">Provide training, when required, to ensure compliance to the OHS and applicable regulations and industry standards.</w:t>
      </w:r>
      <w:r w:rsidDel="00000000" w:rsidR="00000000" w:rsidRPr="00000000">
        <w:rPr>
          <w:rtl w:val="0"/>
        </w:rPr>
      </w:r>
    </w:p>
    <w:p w:rsidR="00000000" w:rsidDel="00000000" w:rsidP="00000000" w:rsidRDefault="00000000" w:rsidRPr="00000000" w14:paraId="00000018">
      <w:pPr>
        <w:widowControl w:val="1"/>
        <w:numPr>
          <w:ilvl w:val="0"/>
          <w:numId w:val="6"/>
        </w:numPr>
        <w:ind w:left="720" w:right="551" w:hanging="360"/>
        <w:rPr>
          <w:rFonts w:ascii="Calibri" w:cs="Calibri" w:eastAsia="Calibri" w:hAnsi="Calibri"/>
        </w:rPr>
      </w:pPr>
      <w:r w:rsidDel="00000000" w:rsidR="00000000" w:rsidRPr="00000000">
        <w:rPr>
          <w:rtl w:val="0"/>
        </w:rPr>
        <w:t xml:space="preserve">Conduct an annual review of SWPs and to make improvements when deemed necessary.</w:t>
      </w:r>
      <w:r w:rsidDel="00000000" w:rsidR="00000000" w:rsidRPr="00000000">
        <w:rPr>
          <w:rtl w:val="0"/>
        </w:rPr>
      </w:r>
    </w:p>
    <w:p w:rsidR="00000000" w:rsidDel="00000000" w:rsidP="00000000" w:rsidRDefault="00000000" w:rsidRPr="00000000" w14:paraId="00000019">
      <w:pPr>
        <w:widowControl w:val="1"/>
        <w:numPr>
          <w:ilvl w:val="0"/>
          <w:numId w:val="6"/>
        </w:numPr>
        <w:ind w:left="720" w:right="551" w:hanging="360"/>
        <w:rPr>
          <w:rFonts w:ascii="Calibri" w:cs="Calibri" w:eastAsia="Calibri" w:hAnsi="Calibri"/>
        </w:rPr>
      </w:pPr>
      <w:r w:rsidDel="00000000" w:rsidR="00000000" w:rsidRPr="00000000">
        <w:rPr>
          <w:rtl w:val="0"/>
        </w:rPr>
        <w:t xml:space="preserve">Provide adequate resources to support the appropriate procedures.</w:t>
      </w:r>
      <w:r w:rsidDel="00000000" w:rsidR="00000000" w:rsidRPr="00000000">
        <w:rPr>
          <w:rtl w:val="0"/>
        </w:rPr>
      </w:r>
    </w:p>
    <w:p w:rsidR="00000000" w:rsidDel="00000000" w:rsidP="00000000" w:rsidRDefault="00000000" w:rsidRPr="00000000" w14:paraId="0000001A">
      <w:pPr>
        <w:widowControl w:val="1"/>
        <w:numPr>
          <w:ilvl w:val="0"/>
          <w:numId w:val="6"/>
        </w:numPr>
        <w:ind w:left="720" w:right="551" w:hanging="360"/>
        <w:rPr>
          <w:rFonts w:ascii="Calibri" w:cs="Calibri" w:eastAsia="Calibri" w:hAnsi="Calibri"/>
        </w:rPr>
      </w:pPr>
      <w:r w:rsidDel="00000000" w:rsidR="00000000" w:rsidRPr="00000000">
        <w:rPr>
          <w:rtl w:val="0"/>
        </w:rPr>
        <w:t xml:space="preserve">Provide only CSA approved equipment, tools and safety devices.</w:t>
      </w:r>
      <w:r w:rsidDel="00000000" w:rsidR="00000000" w:rsidRPr="00000000">
        <w:rPr>
          <w:rtl w:val="0"/>
        </w:rPr>
      </w:r>
    </w:p>
    <w:p w:rsidR="00000000" w:rsidDel="00000000" w:rsidP="00000000" w:rsidRDefault="00000000" w:rsidRPr="00000000" w14:paraId="0000001B">
      <w:pPr>
        <w:widowControl w:val="1"/>
        <w:numPr>
          <w:ilvl w:val="0"/>
          <w:numId w:val="6"/>
        </w:numPr>
        <w:ind w:left="720" w:right="551" w:hanging="360"/>
        <w:rPr>
          <w:rFonts w:ascii="Calibri" w:cs="Calibri" w:eastAsia="Calibri" w:hAnsi="Calibri"/>
        </w:rPr>
      </w:pPr>
      <w:r w:rsidDel="00000000" w:rsidR="00000000" w:rsidRPr="00000000">
        <w:rPr>
          <w:rtl w:val="0"/>
        </w:rPr>
        <w:t xml:space="preserve">Ensure that all safety equipment is available and appropriately used.</w:t>
      </w:r>
      <w:r w:rsidDel="00000000" w:rsidR="00000000" w:rsidRPr="00000000">
        <w:rPr>
          <w:rtl w:val="0"/>
        </w:rPr>
      </w:r>
    </w:p>
    <w:p w:rsidR="00000000" w:rsidDel="00000000" w:rsidP="00000000" w:rsidRDefault="00000000" w:rsidRPr="00000000" w14:paraId="0000001C">
      <w:pPr>
        <w:widowControl w:val="1"/>
        <w:numPr>
          <w:ilvl w:val="0"/>
          <w:numId w:val="6"/>
        </w:numPr>
        <w:ind w:left="720" w:right="551" w:hanging="360"/>
        <w:rPr>
          <w:rFonts w:ascii="Calibri" w:cs="Calibri" w:eastAsia="Calibri" w:hAnsi="Calibri"/>
        </w:rPr>
      </w:pPr>
      <w:r w:rsidDel="00000000" w:rsidR="00000000" w:rsidRPr="00000000">
        <w:rPr>
          <w:rtl w:val="0"/>
        </w:rPr>
        <w:t xml:space="preserve">Ensure records/reports are kept and filed as required.</w:t>
      </w:r>
      <w:r w:rsidDel="00000000" w:rsidR="00000000" w:rsidRPr="00000000">
        <w:rPr>
          <w:rtl w:val="0"/>
        </w:rPr>
      </w:r>
    </w:p>
    <w:p w:rsidR="00000000" w:rsidDel="00000000" w:rsidP="00000000" w:rsidRDefault="00000000" w:rsidRPr="00000000" w14:paraId="0000001D">
      <w:pPr>
        <w:widowControl w:val="1"/>
        <w:numPr>
          <w:ilvl w:val="0"/>
          <w:numId w:val="6"/>
        </w:numPr>
        <w:ind w:left="720" w:hanging="360"/>
        <w:rPr>
          <w:rFonts w:ascii="Calibri" w:cs="Calibri" w:eastAsia="Calibri" w:hAnsi="Calibri"/>
        </w:rPr>
      </w:pPr>
      <w:r w:rsidDel="00000000" w:rsidR="00000000" w:rsidRPr="00000000">
        <w:rPr>
          <w:rtl w:val="0"/>
        </w:rPr>
        <w:t xml:space="preserve">Provide and maintain a safe, healthy work environment.</w:t>
      </w:r>
      <w:r w:rsidDel="00000000" w:rsidR="00000000" w:rsidRPr="00000000">
        <w:rPr>
          <w:rtl w:val="0"/>
        </w:rPr>
      </w:r>
    </w:p>
    <w:p w:rsidR="00000000" w:rsidDel="00000000" w:rsidP="00000000" w:rsidRDefault="00000000" w:rsidRPr="00000000" w14:paraId="0000001E">
      <w:pPr>
        <w:widowControl w:val="1"/>
        <w:numPr>
          <w:ilvl w:val="0"/>
          <w:numId w:val="6"/>
        </w:numPr>
        <w:ind w:left="720" w:right="551" w:hanging="360"/>
        <w:rPr>
          <w:rFonts w:ascii="Calibri" w:cs="Calibri" w:eastAsia="Calibri" w:hAnsi="Calibri"/>
        </w:rPr>
      </w:pPr>
      <w:r w:rsidDel="00000000" w:rsidR="00000000" w:rsidRPr="00000000">
        <w:rPr>
          <w:rtl w:val="0"/>
        </w:rPr>
        <w:t xml:space="preserve">Provide competent supervision for all workers. </w:t>
      </w:r>
      <w:r w:rsidDel="00000000" w:rsidR="00000000" w:rsidRPr="00000000">
        <w:rPr>
          <w:rtl w:val="0"/>
        </w:rPr>
      </w:r>
    </w:p>
    <w:p w:rsidR="00000000" w:rsidDel="00000000" w:rsidP="00000000" w:rsidRDefault="00000000" w:rsidRPr="00000000" w14:paraId="0000001F">
      <w:pPr>
        <w:widowControl w:val="1"/>
        <w:numPr>
          <w:ilvl w:val="0"/>
          <w:numId w:val="6"/>
        </w:numPr>
        <w:ind w:left="720" w:right="937" w:hanging="360"/>
        <w:rPr>
          <w:rFonts w:ascii="Calibri" w:cs="Calibri" w:eastAsia="Calibri" w:hAnsi="Calibri"/>
        </w:rPr>
      </w:pPr>
      <w:r w:rsidDel="00000000" w:rsidR="00000000" w:rsidRPr="00000000">
        <w:rPr>
          <w:rtl w:val="0"/>
        </w:rPr>
        <w:t xml:space="preserve">Ensure management has an awareness of actual and potential health and safety hazards in their area of responsibility.</w:t>
      </w:r>
      <w:r w:rsidDel="00000000" w:rsidR="00000000" w:rsidRPr="00000000">
        <w:rPr>
          <w:rtl w:val="0"/>
        </w:rPr>
      </w:r>
    </w:p>
    <w:p w:rsidR="00000000" w:rsidDel="00000000" w:rsidP="00000000" w:rsidRDefault="00000000" w:rsidRPr="00000000" w14:paraId="00000020">
      <w:pPr>
        <w:widowControl w:val="1"/>
        <w:numPr>
          <w:ilvl w:val="0"/>
          <w:numId w:val="6"/>
        </w:numPr>
        <w:ind w:left="720" w:right="551" w:hanging="360"/>
        <w:rPr>
          <w:rFonts w:ascii="Calibri" w:cs="Calibri" w:eastAsia="Calibri" w:hAnsi="Calibri"/>
        </w:rPr>
      </w:pPr>
      <w:r w:rsidDel="00000000" w:rsidR="00000000" w:rsidRPr="00000000">
        <w:rPr>
          <w:rtl w:val="0"/>
        </w:rPr>
        <w:t xml:space="preserve">Investigate all injuries and accidents and take corrective measures.</w:t>
      </w:r>
      <w:r w:rsidDel="00000000" w:rsidR="00000000" w:rsidRPr="00000000">
        <w:rPr>
          <w:rtl w:val="0"/>
        </w:rPr>
      </w:r>
    </w:p>
    <w:p w:rsidR="00000000" w:rsidDel="00000000" w:rsidP="00000000" w:rsidRDefault="00000000" w:rsidRPr="00000000" w14:paraId="00000021">
      <w:pPr>
        <w:widowControl w:val="1"/>
        <w:numPr>
          <w:ilvl w:val="0"/>
          <w:numId w:val="3"/>
        </w:numPr>
        <w:spacing w:before="47" w:lineRule="auto"/>
        <w:ind w:left="720" w:hanging="360"/>
        <w:rPr>
          <w:rFonts w:ascii="Calibri" w:cs="Calibri" w:eastAsia="Calibri" w:hAnsi="Calibri"/>
        </w:rPr>
      </w:pPr>
      <w:r w:rsidDel="00000000" w:rsidR="00000000" w:rsidRPr="00000000">
        <w:rPr>
          <w:rtl w:val="0"/>
        </w:rPr>
        <w:t xml:space="preserve">Participate in developing safe work practices.</w:t>
      </w:r>
      <w:r w:rsidDel="00000000" w:rsidR="00000000" w:rsidRPr="00000000">
        <w:rPr>
          <w:rtl w:val="0"/>
        </w:rPr>
      </w:r>
    </w:p>
    <w:p w:rsidR="00000000" w:rsidDel="00000000" w:rsidP="00000000" w:rsidRDefault="00000000" w:rsidRPr="00000000" w14:paraId="00000022">
      <w:pPr>
        <w:widowControl w:val="1"/>
        <w:numPr>
          <w:ilvl w:val="0"/>
          <w:numId w:val="3"/>
        </w:numPr>
        <w:ind w:left="720" w:hanging="360"/>
        <w:jc w:val="both"/>
        <w:rPr>
          <w:rFonts w:ascii="Calibri" w:cs="Calibri" w:eastAsia="Calibri" w:hAnsi="Calibri"/>
        </w:rPr>
      </w:pPr>
      <w:r w:rsidDel="00000000" w:rsidR="00000000" w:rsidRPr="00000000">
        <w:rPr>
          <w:rtl w:val="0"/>
        </w:rPr>
        <w:t xml:space="preserve">Ensure workplace safety procedures are followed.</w:t>
      </w:r>
      <w:r w:rsidDel="00000000" w:rsidR="00000000" w:rsidRPr="00000000">
        <w:rPr>
          <w:rtl w:val="0"/>
        </w:rPr>
      </w:r>
    </w:p>
    <w:p w:rsidR="00000000" w:rsidDel="00000000" w:rsidP="00000000" w:rsidRDefault="00000000" w:rsidRPr="00000000" w14:paraId="00000023">
      <w:pPr>
        <w:widowControl w:val="1"/>
        <w:numPr>
          <w:ilvl w:val="0"/>
          <w:numId w:val="3"/>
        </w:numPr>
        <w:ind w:left="720" w:hanging="360"/>
        <w:jc w:val="both"/>
        <w:rPr>
          <w:rFonts w:ascii="Calibri" w:cs="Calibri" w:eastAsia="Calibri" w:hAnsi="Calibri"/>
        </w:rPr>
      </w:pPr>
      <w:r w:rsidDel="00000000" w:rsidR="00000000" w:rsidRPr="00000000">
        <w:rPr>
          <w:rtl w:val="0"/>
        </w:rPr>
        <w:t xml:space="preserve">Continually recognize hazards and implement corrective measures to eliminate or control the identified hazard.</w:t>
      </w:r>
      <w:r w:rsidDel="00000000" w:rsidR="00000000" w:rsidRPr="00000000">
        <w:rPr>
          <w:rtl w:val="0"/>
        </w:rPr>
      </w:r>
    </w:p>
    <w:p w:rsidR="00000000" w:rsidDel="00000000" w:rsidP="00000000" w:rsidRDefault="00000000" w:rsidRPr="00000000" w14:paraId="00000024">
      <w:pPr>
        <w:widowControl w:val="1"/>
        <w:numPr>
          <w:ilvl w:val="0"/>
          <w:numId w:val="3"/>
        </w:numPr>
        <w:ind w:left="720" w:hanging="360"/>
        <w:jc w:val="both"/>
        <w:rPr>
          <w:rFonts w:ascii="Calibri" w:cs="Calibri" w:eastAsia="Calibri" w:hAnsi="Calibri"/>
        </w:rPr>
      </w:pPr>
      <w:r w:rsidDel="00000000" w:rsidR="00000000" w:rsidRPr="00000000">
        <w:rPr>
          <w:rtl w:val="0"/>
        </w:rPr>
        <w:t xml:space="preserve">Advise workers of actual and potential hazards.</w:t>
      </w:r>
      <w:r w:rsidDel="00000000" w:rsidR="00000000" w:rsidRPr="00000000">
        <w:rPr>
          <w:rtl w:val="0"/>
        </w:rPr>
      </w:r>
    </w:p>
    <w:p w:rsidR="00000000" w:rsidDel="00000000" w:rsidP="00000000" w:rsidRDefault="00000000" w:rsidRPr="00000000" w14:paraId="00000025">
      <w:pPr>
        <w:widowControl w:val="1"/>
        <w:numPr>
          <w:ilvl w:val="0"/>
          <w:numId w:val="3"/>
        </w:numPr>
        <w:ind w:left="720" w:hanging="360"/>
        <w:jc w:val="both"/>
        <w:rPr>
          <w:rFonts w:ascii="Calibri" w:cs="Calibri" w:eastAsia="Calibri" w:hAnsi="Calibri"/>
        </w:rPr>
      </w:pPr>
      <w:r w:rsidDel="00000000" w:rsidR="00000000" w:rsidRPr="00000000">
        <w:rPr>
          <w:rtl w:val="0"/>
        </w:rPr>
        <w:t xml:space="preserve">Ensure that only qualified/authorized workers operate equipment/tools and perform designated work tasks. When required, train all personnel. Submit all documentation to mManagement in a timely manner.</w:t>
      </w:r>
      <w:r w:rsidDel="00000000" w:rsidR="00000000" w:rsidRPr="00000000">
        <w:rPr>
          <w:rtl w:val="0"/>
        </w:rPr>
      </w:r>
    </w:p>
    <w:p w:rsidR="00000000" w:rsidDel="00000000" w:rsidP="00000000" w:rsidRDefault="00000000" w:rsidRPr="00000000" w14:paraId="00000026">
      <w:pPr>
        <w:widowControl w:val="1"/>
        <w:ind w:left="720" w:firstLine="0"/>
        <w:jc w:val="both"/>
        <w:rPr/>
      </w:pPr>
      <w:r w:rsidDel="00000000" w:rsidR="00000000" w:rsidRPr="00000000">
        <w:rPr>
          <w:rtl w:val="0"/>
        </w:rPr>
      </w:r>
    </w:p>
    <w:p w:rsidR="00000000" w:rsidDel="00000000" w:rsidP="00000000" w:rsidRDefault="00000000" w:rsidRPr="00000000" w14:paraId="00000027">
      <w:pPr>
        <w:widowControl w:val="1"/>
        <w:spacing w:after="160" w:lineRule="auto"/>
        <w:ind w:left="0" w:firstLine="0"/>
        <w:jc w:val="both"/>
        <w:rPr>
          <w:sz w:val="24"/>
          <w:szCs w:val="24"/>
          <w:u w:val="single"/>
        </w:rPr>
      </w:pPr>
      <w:r w:rsidDel="00000000" w:rsidR="00000000" w:rsidRPr="00000000">
        <w:rPr>
          <w:u w:val="single"/>
          <w:rtl w:val="0"/>
        </w:rPr>
        <w:t xml:space="preserve">Worker</w:t>
      </w:r>
      <w:r w:rsidDel="00000000" w:rsidR="00000000" w:rsidRPr="00000000">
        <w:rPr>
          <w:rtl w:val="0"/>
        </w:rPr>
      </w:r>
    </w:p>
    <w:p w:rsidR="00000000" w:rsidDel="00000000" w:rsidP="00000000" w:rsidRDefault="00000000" w:rsidRPr="00000000" w14:paraId="00000028">
      <w:pPr>
        <w:widowControl w:val="1"/>
        <w:numPr>
          <w:ilvl w:val="0"/>
          <w:numId w:val="1"/>
        </w:numPr>
        <w:spacing w:before="47" w:lineRule="auto"/>
        <w:ind w:left="720" w:hanging="360"/>
        <w:jc w:val="both"/>
        <w:rPr>
          <w:rFonts w:ascii="Calibri" w:cs="Calibri" w:eastAsia="Calibri" w:hAnsi="Calibri"/>
        </w:rPr>
      </w:pPr>
      <w:r w:rsidDel="00000000" w:rsidR="00000000" w:rsidRPr="00000000">
        <w:rPr>
          <w:rtl w:val="0"/>
        </w:rPr>
        <w:t xml:space="preserve">Participate in developing safe work practices</w:t>
      </w:r>
      <w:r w:rsidDel="00000000" w:rsidR="00000000" w:rsidRPr="00000000">
        <w:rPr>
          <w:rtl w:val="0"/>
        </w:rPr>
      </w:r>
    </w:p>
    <w:p w:rsidR="00000000" w:rsidDel="00000000" w:rsidP="00000000" w:rsidRDefault="00000000" w:rsidRPr="00000000" w14:paraId="00000029">
      <w:pPr>
        <w:widowControl w:val="1"/>
        <w:numPr>
          <w:ilvl w:val="0"/>
          <w:numId w:val="1"/>
        </w:numPr>
        <w:ind w:left="720" w:hanging="360"/>
        <w:jc w:val="both"/>
        <w:rPr>
          <w:rFonts w:ascii="Calibri" w:cs="Calibri" w:eastAsia="Calibri" w:hAnsi="Calibri"/>
        </w:rPr>
      </w:pPr>
      <w:r w:rsidDel="00000000" w:rsidR="00000000" w:rsidRPr="00000000">
        <w:rPr>
          <w:rtl w:val="0"/>
        </w:rPr>
        <w:t xml:space="preserve">Follow the safe work practices/procedures</w:t>
      </w:r>
      <w:r w:rsidDel="00000000" w:rsidR="00000000" w:rsidRPr="00000000">
        <w:rPr>
          <w:rtl w:val="0"/>
        </w:rPr>
      </w:r>
    </w:p>
    <w:p w:rsidR="00000000" w:rsidDel="00000000" w:rsidP="00000000" w:rsidRDefault="00000000" w:rsidRPr="00000000" w14:paraId="0000002A">
      <w:pPr>
        <w:widowControl w:val="1"/>
        <w:numPr>
          <w:ilvl w:val="0"/>
          <w:numId w:val="1"/>
        </w:numPr>
        <w:ind w:left="720" w:hanging="360"/>
        <w:jc w:val="both"/>
        <w:rPr>
          <w:rFonts w:ascii="Calibri" w:cs="Calibri" w:eastAsia="Calibri" w:hAnsi="Calibri"/>
        </w:rPr>
      </w:pPr>
      <w:r w:rsidDel="00000000" w:rsidR="00000000" w:rsidRPr="00000000">
        <w:rPr>
          <w:rtl w:val="0"/>
        </w:rPr>
        <w:t xml:space="preserve">Work in accordance with the [Organization Name] OHS Program, the OHS Act, Code and applicable Regulations, and industry standards.</w:t>
      </w:r>
      <w:r w:rsidDel="00000000" w:rsidR="00000000" w:rsidRPr="00000000">
        <w:rPr>
          <w:rtl w:val="0"/>
        </w:rPr>
      </w:r>
    </w:p>
    <w:p w:rsidR="00000000" w:rsidDel="00000000" w:rsidP="00000000" w:rsidRDefault="00000000" w:rsidRPr="00000000" w14:paraId="0000002B">
      <w:pPr>
        <w:widowControl w:val="1"/>
        <w:numPr>
          <w:ilvl w:val="0"/>
          <w:numId w:val="1"/>
        </w:numPr>
        <w:ind w:left="720" w:hanging="360"/>
        <w:jc w:val="both"/>
        <w:rPr>
          <w:rFonts w:ascii="Calibri" w:cs="Calibri" w:eastAsia="Calibri" w:hAnsi="Calibri"/>
        </w:rPr>
      </w:pPr>
      <w:r w:rsidDel="00000000" w:rsidR="00000000" w:rsidRPr="00000000">
        <w:rPr>
          <w:rtl w:val="0"/>
        </w:rPr>
        <w:t xml:space="preserve">Only perform a work task if they are competent to do so.</w:t>
      </w:r>
      <w:r w:rsidDel="00000000" w:rsidR="00000000" w:rsidRPr="00000000">
        <w:rPr>
          <w:rtl w:val="0"/>
        </w:rPr>
      </w:r>
    </w:p>
    <w:p w:rsidR="00000000" w:rsidDel="00000000" w:rsidP="00000000" w:rsidRDefault="00000000" w:rsidRPr="00000000" w14:paraId="0000002C">
      <w:pPr>
        <w:widowControl w:val="1"/>
        <w:numPr>
          <w:ilvl w:val="0"/>
          <w:numId w:val="1"/>
        </w:numPr>
        <w:ind w:left="720" w:hanging="360"/>
        <w:jc w:val="both"/>
        <w:rPr>
          <w:rFonts w:ascii="Calibri" w:cs="Calibri" w:eastAsia="Calibri" w:hAnsi="Calibri"/>
        </w:rPr>
      </w:pPr>
      <w:r w:rsidDel="00000000" w:rsidR="00000000" w:rsidRPr="00000000">
        <w:rPr>
          <w:rtl w:val="0"/>
        </w:rPr>
        <w:t xml:space="preserve">Appropriately use all safety equipment.</w:t>
      </w:r>
      <w:r w:rsidDel="00000000" w:rsidR="00000000" w:rsidRPr="00000000">
        <w:rPr>
          <w:rtl w:val="0"/>
        </w:rPr>
      </w:r>
    </w:p>
    <w:p w:rsidR="00000000" w:rsidDel="00000000" w:rsidP="00000000" w:rsidRDefault="00000000" w:rsidRPr="00000000" w14:paraId="0000002D">
      <w:pPr>
        <w:widowControl w:val="1"/>
        <w:rPr>
          <w:sz w:val="24"/>
          <w:szCs w:val="24"/>
        </w:rPr>
      </w:pPr>
      <w:r w:rsidDel="00000000" w:rsidR="00000000" w:rsidRPr="00000000">
        <w:rPr>
          <w:rtl w:val="0"/>
        </w:rPr>
      </w:r>
    </w:p>
    <w:p w:rsidR="00000000" w:rsidDel="00000000" w:rsidP="00000000" w:rsidRDefault="00000000" w:rsidRPr="00000000" w14:paraId="0000002E">
      <w:pPr>
        <w:widowControl w:val="1"/>
        <w:spacing w:before="47" w:lineRule="auto"/>
        <w:jc w:val="both"/>
        <w:rPr>
          <w:u w:val="single"/>
        </w:rPr>
      </w:pPr>
      <w:r w:rsidDel="00000000" w:rsidR="00000000" w:rsidRPr="00000000">
        <w:rPr>
          <w:u w:val="single"/>
          <w:rtl w:val="0"/>
        </w:rPr>
        <w:t xml:space="preserve">Joint Health and Safety Committee</w:t>
      </w:r>
    </w:p>
    <w:p w:rsidR="00000000" w:rsidDel="00000000" w:rsidP="00000000" w:rsidRDefault="00000000" w:rsidRPr="00000000" w14:paraId="0000002F">
      <w:pPr>
        <w:widowControl w:val="1"/>
        <w:spacing w:before="47" w:lineRule="auto"/>
        <w:jc w:val="both"/>
        <w:rPr>
          <w:u w:val="single"/>
        </w:rPr>
      </w:pPr>
      <w:r w:rsidDel="00000000" w:rsidR="00000000" w:rsidRPr="00000000">
        <w:rPr>
          <w:rtl w:val="0"/>
        </w:rPr>
      </w:r>
    </w:p>
    <w:p w:rsidR="00000000" w:rsidDel="00000000" w:rsidP="00000000" w:rsidRDefault="00000000" w:rsidRPr="00000000" w14:paraId="00000030">
      <w:pPr>
        <w:widowControl w:val="1"/>
        <w:numPr>
          <w:ilvl w:val="0"/>
          <w:numId w:val="4"/>
        </w:numPr>
        <w:spacing w:before="47" w:lineRule="auto"/>
        <w:ind w:left="720" w:hanging="360"/>
        <w:rPr>
          <w:rFonts w:ascii="Calibri" w:cs="Calibri" w:eastAsia="Calibri" w:hAnsi="Calibri"/>
        </w:rPr>
      </w:pPr>
      <w:r w:rsidDel="00000000" w:rsidR="00000000" w:rsidRPr="00000000">
        <w:rPr>
          <w:rtl w:val="0"/>
        </w:rPr>
        <w:t xml:space="preserve">Review the safe work practices.</w:t>
      </w:r>
      <w:r w:rsidDel="00000000" w:rsidR="00000000" w:rsidRPr="00000000">
        <w:rPr>
          <w:rtl w:val="0"/>
        </w:rPr>
      </w:r>
    </w:p>
    <w:p w:rsidR="00000000" w:rsidDel="00000000" w:rsidP="00000000" w:rsidRDefault="00000000" w:rsidRPr="00000000" w14:paraId="00000031">
      <w:pPr>
        <w:widowControl w:val="1"/>
        <w:numPr>
          <w:ilvl w:val="0"/>
          <w:numId w:val="4"/>
        </w:numPr>
        <w:ind w:left="720" w:hanging="360"/>
        <w:rPr>
          <w:rFonts w:ascii="Calibri" w:cs="Calibri" w:eastAsia="Calibri" w:hAnsi="Calibri"/>
        </w:rPr>
      </w:pPr>
      <w:r w:rsidDel="00000000" w:rsidR="00000000" w:rsidRPr="00000000">
        <w:rPr>
          <w:rtl w:val="0"/>
        </w:rPr>
        <w:t xml:space="preserve">Make recommendations to management on all matters concerning the health and safety program.</w:t>
      </w:r>
      <w:r w:rsidDel="00000000" w:rsidR="00000000" w:rsidRPr="00000000">
        <w:rPr>
          <w:rtl w:val="0"/>
        </w:rPr>
      </w:r>
    </w:p>
    <w:p w:rsidR="00000000" w:rsidDel="00000000" w:rsidP="00000000" w:rsidRDefault="00000000" w:rsidRPr="00000000" w14:paraId="00000032">
      <w:pPr>
        <w:widowControl w:val="1"/>
        <w:numPr>
          <w:ilvl w:val="0"/>
          <w:numId w:val="4"/>
        </w:numPr>
        <w:ind w:left="720" w:hanging="360"/>
        <w:rPr>
          <w:rFonts w:ascii="Calibri" w:cs="Calibri" w:eastAsia="Calibri" w:hAnsi="Calibri"/>
        </w:rPr>
      </w:pPr>
      <w:r w:rsidDel="00000000" w:rsidR="00000000" w:rsidRPr="00000000">
        <w:rPr>
          <w:rtl w:val="0"/>
        </w:rPr>
        <w:t xml:space="preserve">Participate in the annual review of this policy.</w:t>
      </w:r>
      <w:r w:rsidDel="00000000" w:rsidR="00000000" w:rsidRPr="00000000">
        <w:rPr>
          <w:rtl w:val="0"/>
        </w:rPr>
      </w:r>
    </w:p>
    <w:p w:rsidR="00000000" w:rsidDel="00000000" w:rsidP="00000000" w:rsidRDefault="00000000" w:rsidRPr="00000000" w14:paraId="00000033">
      <w:pPr>
        <w:widowControl w:val="1"/>
        <w:ind w:left="0" w:firstLine="0"/>
        <w:rPr/>
      </w:pPr>
      <w:r w:rsidDel="00000000" w:rsidR="00000000" w:rsidRPr="00000000">
        <w:rPr>
          <w:rtl w:val="0"/>
        </w:rPr>
      </w:r>
    </w:p>
    <w:p w:rsidR="00000000" w:rsidDel="00000000" w:rsidP="00000000" w:rsidRDefault="00000000" w:rsidRPr="00000000" w14:paraId="00000034">
      <w:pPr>
        <w:widowControl w:val="1"/>
        <w:ind w:left="0" w:firstLine="0"/>
        <w:rPr>
          <w:sz w:val="24"/>
          <w:szCs w:val="24"/>
          <w:u w:val="single"/>
        </w:rPr>
      </w:pPr>
      <w:r w:rsidDel="00000000" w:rsidR="00000000" w:rsidRPr="00000000">
        <w:rPr>
          <w:u w:val="single"/>
          <w:rtl w:val="0"/>
        </w:rPr>
        <w:t xml:space="preserve">Contractor</w:t>
      </w:r>
      <w:r w:rsidDel="00000000" w:rsidR="00000000" w:rsidRPr="00000000">
        <w:rPr>
          <w:rtl w:val="0"/>
        </w:rPr>
      </w:r>
    </w:p>
    <w:p w:rsidR="00000000" w:rsidDel="00000000" w:rsidP="00000000" w:rsidRDefault="00000000" w:rsidRPr="00000000" w14:paraId="00000035">
      <w:pPr>
        <w:widowControl w:val="1"/>
        <w:numPr>
          <w:ilvl w:val="0"/>
          <w:numId w:val="5"/>
        </w:numPr>
        <w:spacing w:before="47" w:lineRule="auto"/>
        <w:ind w:left="720" w:hanging="360"/>
        <w:rPr>
          <w:rFonts w:ascii="Calibri" w:cs="Calibri" w:eastAsia="Calibri" w:hAnsi="Calibri"/>
        </w:rPr>
      </w:pPr>
      <w:r w:rsidDel="00000000" w:rsidR="00000000" w:rsidRPr="00000000">
        <w:rPr>
          <w:rtl w:val="0"/>
        </w:rPr>
        <w:t xml:space="preserve">Ensure their workers are working in accordance with this policy.</w:t>
      </w:r>
      <w:r w:rsidDel="00000000" w:rsidR="00000000" w:rsidRPr="00000000">
        <w:rPr>
          <w:rtl w:val="0"/>
        </w:rPr>
      </w:r>
    </w:p>
    <w:p w:rsidR="00000000" w:rsidDel="00000000" w:rsidP="00000000" w:rsidRDefault="00000000" w:rsidRPr="00000000" w14:paraId="00000036">
      <w:pPr>
        <w:widowControl w:val="1"/>
        <w:numPr>
          <w:ilvl w:val="0"/>
          <w:numId w:val="5"/>
        </w:numPr>
        <w:ind w:left="720" w:hanging="360"/>
        <w:rPr>
          <w:rFonts w:ascii="Calibri" w:cs="Calibri" w:eastAsia="Calibri" w:hAnsi="Calibri"/>
        </w:rPr>
      </w:pPr>
      <w:r w:rsidDel="00000000" w:rsidR="00000000" w:rsidRPr="00000000">
        <w:rPr>
          <w:rtl w:val="0"/>
        </w:rPr>
        <w:t xml:space="preserve">Ensure their workers are adequately trained.  </w:t>
      </w:r>
      <w:r w:rsidDel="00000000" w:rsidR="00000000" w:rsidRPr="00000000">
        <w:rPr>
          <w:rtl w:val="0"/>
        </w:rPr>
      </w:r>
    </w:p>
    <w:p w:rsidR="00000000" w:rsidDel="00000000" w:rsidP="00000000" w:rsidRDefault="00000000" w:rsidRPr="00000000" w14:paraId="00000037">
      <w:pPr>
        <w:widowControl w:val="1"/>
        <w:numPr>
          <w:ilvl w:val="0"/>
          <w:numId w:val="5"/>
        </w:numPr>
        <w:ind w:left="720" w:hanging="360"/>
        <w:rPr>
          <w:rFonts w:ascii="Calibri" w:cs="Calibri" w:eastAsia="Calibri" w:hAnsi="Calibri"/>
        </w:rPr>
      </w:pPr>
      <w:r w:rsidDel="00000000" w:rsidR="00000000" w:rsidRPr="00000000">
        <w:rPr>
          <w:rtl w:val="0"/>
        </w:rPr>
        <w:t xml:space="preserve">Report all unsafe conditions or acts to the [Organization Name] management.</w:t>
      </w:r>
      <w:r w:rsidDel="00000000" w:rsidR="00000000" w:rsidRPr="00000000">
        <w:rPr>
          <w:rtl w:val="0"/>
        </w:rPr>
      </w:r>
    </w:p>
    <w:p w:rsidR="00000000" w:rsidDel="00000000" w:rsidP="00000000" w:rsidRDefault="00000000" w:rsidRPr="00000000" w14:paraId="00000038">
      <w:pPr>
        <w:widowControl w:val="1"/>
        <w:spacing w:after="160" w:lineRule="auto"/>
        <w:jc w:val="both"/>
        <w:rPr>
          <w:b w:val="1"/>
        </w:rPr>
      </w:pPr>
      <w:r w:rsidDel="00000000" w:rsidR="00000000" w:rsidRPr="00000000">
        <w:rPr>
          <w:rtl w:val="0"/>
        </w:rPr>
      </w:r>
    </w:p>
    <w:p w:rsidR="00000000" w:rsidDel="00000000" w:rsidP="00000000" w:rsidRDefault="00000000" w:rsidRPr="00000000" w14:paraId="00000039">
      <w:pPr>
        <w:widowControl w:val="1"/>
        <w:spacing w:after="160" w:lineRule="auto"/>
        <w:jc w:val="both"/>
        <w:rPr>
          <w:sz w:val="26"/>
          <w:szCs w:val="26"/>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03A">
      <w:pPr>
        <w:widowControl w:val="1"/>
        <w:numPr>
          <w:ilvl w:val="0"/>
          <w:numId w:val="7"/>
        </w:numPr>
        <w:spacing w:after="59" w:lineRule="auto"/>
        <w:ind w:left="720" w:hanging="360"/>
        <w:rPr>
          <w:rFonts w:ascii="Calibri" w:cs="Calibri" w:eastAsia="Calibri" w:hAnsi="Calibri"/>
        </w:rPr>
      </w:pPr>
      <w:r w:rsidDel="00000000" w:rsidR="00000000" w:rsidRPr="00000000">
        <w:rPr>
          <w:rtl w:val="0"/>
        </w:rPr>
        <w:t xml:space="preserve">Following the hazard risk assessment, a list of work tasks regularly performed will be established. </w:t>
      </w:r>
      <w:r w:rsidDel="00000000" w:rsidR="00000000" w:rsidRPr="00000000">
        <w:rPr>
          <w:rtl w:val="0"/>
        </w:rPr>
      </w:r>
    </w:p>
    <w:p w:rsidR="00000000" w:rsidDel="00000000" w:rsidP="00000000" w:rsidRDefault="00000000" w:rsidRPr="00000000" w14:paraId="0000003B">
      <w:pPr>
        <w:widowControl w:val="1"/>
        <w:numPr>
          <w:ilvl w:val="0"/>
          <w:numId w:val="7"/>
        </w:numPr>
        <w:spacing w:after="59" w:lineRule="auto"/>
        <w:ind w:left="720" w:hanging="360"/>
        <w:rPr>
          <w:rFonts w:ascii="Calibri" w:cs="Calibri" w:eastAsia="Calibri" w:hAnsi="Calibri"/>
        </w:rPr>
      </w:pPr>
      <w:r w:rsidDel="00000000" w:rsidR="00000000" w:rsidRPr="00000000">
        <w:rPr>
          <w:rtl w:val="0"/>
        </w:rPr>
        <w:t xml:space="preserve">Procedures and safe work practices are detailed under specific work tasks and accompany this policy.</w:t>
      </w:r>
      <w:r w:rsidDel="00000000" w:rsidR="00000000" w:rsidRPr="00000000">
        <w:rPr>
          <w:rtl w:val="0"/>
        </w:rPr>
      </w:r>
    </w:p>
    <w:p w:rsidR="00000000" w:rsidDel="00000000" w:rsidP="00000000" w:rsidRDefault="00000000" w:rsidRPr="00000000" w14:paraId="0000003C">
      <w:pPr>
        <w:widowControl w:val="1"/>
        <w:numPr>
          <w:ilvl w:val="0"/>
          <w:numId w:val="7"/>
        </w:numPr>
        <w:spacing w:after="59" w:lineRule="auto"/>
        <w:ind w:left="720" w:hanging="360"/>
        <w:rPr>
          <w:rFonts w:ascii="Calibri" w:cs="Calibri" w:eastAsia="Calibri" w:hAnsi="Calibri"/>
        </w:rPr>
      </w:pPr>
      <w:r w:rsidDel="00000000" w:rsidR="00000000" w:rsidRPr="00000000">
        <w:rPr>
          <w:rtl w:val="0"/>
        </w:rPr>
        <w:t xml:space="preserve">Management and JHSC will create Safe Work Practices for all tasks identified. </w:t>
      </w:r>
      <w:r w:rsidDel="00000000" w:rsidR="00000000" w:rsidRPr="00000000">
        <w:rPr>
          <w:rtl w:val="0"/>
        </w:rPr>
      </w:r>
    </w:p>
    <w:p w:rsidR="00000000" w:rsidDel="00000000" w:rsidP="00000000" w:rsidRDefault="00000000" w:rsidRPr="00000000" w14:paraId="0000003D">
      <w:pPr>
        <w:widowControl w:val="1"/>
        <w:numPr>
          <w:ilvl w:val="0"/>
          <w:numId w:val="7"/>
        </w:numPr>
        <w:spacing w:after="0" w:before="0" w:lineRule="auto"/>
        <w:ind w:left="720" w:hanging="360"/>
        <w:rPr>
          <w:rFonts w:ascii="Calibri" w:cs="Calibri" w:eastAsia="Calibri" w:hAnsi="Calibri"/>
        </w:rPr>
      </w:pPr>
      <w:r w:rsidDel="00000000" w:rsidR="00000000" w:rsidRPr="00000000">
        <w:rPr>
          <w:rtl w:val="0"/>
        </w:rPr>
        <w:t xml:space="preserve">During the internal audit process an annual review of all SWPs will be conducted to ensure the SWPs remain accurate, legally compliant, efficient, etc. </w:t>
      </w:r>
      <w:r w:rsidDel="00000000" w:rsidR="00000000" w:rsidRPr="00000000">
        <w:rPr>
          <w:rtl w:val="0"/>
        </w:rPr>
      </w:r>
    </w:p>
    <w:p w:rsidR="00000000" w:rsidDel="00000000" w:rsidP="00000000" w:rsidRDefault="00000000" w:rsidRPr="00000000" w14:paraId="0000003E">
      <w:pPr>
        <w:widowControl w:val="1"/>
        <w:spacing w:after="0" w:before="0" w:lineRule="auto"/>
        <w:rPr/>
      </w:pPr>
      <w:r w:rsidDel="00000000" w:rsidR="00000000" w:rsidRPr="00000000">
        <w:rPr>
          <w:rtl w:val="0"/>
        </w:rPr>
      </w:r>
    </w:p>
    <w:p w:rsidR="00000000" w:rsidDel="00000000" w:rsidP="00000000" w:rsidRDefault="00000000" w:rsidRPr="00000000" w14:paraId="0000003F">
      <w:pPr>
        <w:widowControl w:val="1"/>
        <w:spacing w:after="0" w:before="0" w:lineRule="auto"/>
        <w:rPr>
          <w:sz w:val="26"/>
          <w:szCs w:val="26"/>
        </w:rPr>
      </w:pPr>
      <w:r w:rsidDel="00000000" w:rsidR="00000000" w:rsidRPr="00000000">
        <w:rPr>
          <w:b w:val="1"/>
          <w:sz w:val="24"/>
          <w:szCs w:val="24"/>
          <w:rtl w:val="0"/>
        </w:rPr>
        <w:t xml:space="preserve">Enforcement</w:t>
      </w:r>
      <w:r w:rsidDel="00000000" w:rsidR="00000000" w:rsidRPr="00000000">
        <w:rPr>
          <w:rtl w:val="0"/>
        </w:rPr>
      </w:r>
    </w:p>
    <w:p w:rsidR="00000000" w:rsidDel="00000000" w:rsidP="00000000" w:rsidRDefault="00000000" w:rsidRPr="00000000" w14:paraId="00000040">
      <w:pPr>
        <w:widowControl w:val="1"/>
        <w:spacing w:after="0" w:before="0" w:lineRule="auto"/>
        <w:ind w:right="105"/>
        <w:rPr/>
      </w:pPr>
      <w:r w:rsidDel="00000000" w:rsidR="00000000" w:rsidRPr="00000000">
        <w:rPr>
          <w:rtl w:val="0"/>
        </w:rPr>
      </w:r>
    </w:p>
    <w:p w:rsidR="00000000" w:rsidDel="00000000" w:rsidP="00000000" w:rsidRDefault="00000000" w:rsidRPr="00000000" w14:paraId="00000041">
      <w:pPr>
        <w:widowControl w:val="1"/>
        <w:spacing w:after="0" w:before="0" w:lineRule="auto"/>
        <w:ind w:right="105"/>
        <w:rPr>
          <w:sz w:val="24"/>
          <w:szCs w:val="24"/>
        </w:rPr>
      </w:pPr>
      <w:r w:rsidDel="00000000" w:rsidR="00000000" w:rsidRPr="00000000">
        <w:rPr>
          <w:rtl w:val="0"/>
        </w:rPr>
        <w:t xml:space="preserve">Safe Work Practices are developed with the sole intent of eliminating or reducing injury and illness. It is essential that all parties comply with this policy and its procedures.  Failure to comply may result in disciplinary action(s) taken against the worker(s) in accordance with "[Organization Name] “Policy. </w:t>
      </w:r>
      <w:r w:rsidDel="00000000" w:rsidR="00000000" w:rsidRPr="00000000">
        <w:rPr>
          <w:rtl w:val="0"/>
        </w:rPr>
      </w:r>
    </w:p>
    <w:p w:rsidR="00000000" w:rsidDel="00000000" w:rsidP="00000000" w:rsidRDefault="00000000" w:rsidRPr="00000000" w14:paraId="00000042">
      <w:pPr>
        <w:widowControl w:val="1"/>
        <w:spacing w:after="0" w:before="0" w:lineRule="auto"/>
        <w:rPr>
          <w:b w:val="1"/>
        </w:rPr>
      </w:pPr>
      <w:r w:rsidDel="00000000" w:rsidR="00000000" w:rsidRPr="00000000">
        <w:rPr>
          <w:rtl w:val="0"/>
        </w:rPr>
      </w:r>
    </w:p>
    <w:p w:rsidR="00000000" w:rsidDel="00000000" w:rsidP="00000000" w:rsidRDefault="00000000" w:rsidRPr="00000000" w14:paraId="00000043">
      <w:pPr>
        <w:widowControl w:val="1"/>
        <w:spacing w:after="0" w:before="0" w:lineRule="auto"/>
        <w:rPr>
          <w:sz w:val="26"/>
          <w:szCs w:val="26"/>
        </w:rPr>
      </w:pPr>
      <w:r w:rsidDel="00000000" w:rsidR="00000000" w:rsidRPr="00000000">
        <w:rPr>
          <w:b w:val="1"/>
          <w:sz w:val="24"/>
          <w:szCs w:val="24"/>
          <w:rtl w:val="0"/>
        </w:rPr>
        <w:t xml:space="preserve">Communication</w:t>
      </w:r>
      <w:r w:rsidDel="00000000" w:rsidR="00000000" w:rsidRPr="00000000">
        <w:rPr>
          <w:rtl w:val="0"/>
        </w:rPr>
      </w:r>
    </w:p>
    <w:p w:rsidR="00000000" w:rsidDel="00000000" w:rsidP="00000000" w:rsidRDefault="00000000" w:rsidRPr="00000000" w14:paraId="00000044">
      <w:pPr>
        <w:widowControl w:val="1"/>
        <w:spacing w:after="0" w:before="0" w:lineRule="auto"/>
        <w:rPr/>
      </w:pPr>
      <w:r w:rsidDel="00000000" w:rsidR="00000000" w:rsidRPr="00000000">
        <w:rPr>
          <w:rtl w:val="0"/>
        </w:rPr>
      </w:r>
    </w:p>
    <w:p w:rsidR="00000000" w:rsidDel="00000000" w:rsidP="00000000" w:rsidRDefault="00000000" w:rsidRPr="00000000" w14:paraId="00000045">
      <w:pPr>
        <w:widowControl w:val="1"/>
        <w:spacing w:after="0" w:before="0" w:lineRule="auto"/>
        <w:rPr>
          <w:sz w:val="24"/>
          <w:szCs w:val="24"/>
        </w:rPr>
      </w:pPr>
      <w:r w:rsidDel="00000000" w:rsidR="00000000" w:rsidRPr="00000000">
        <w:rPr>
          <w:rtl w:val="0"/>
        </w:rPr>
        <w:t xml:space="preserve">This program will be communicated to all workplace parties through safety meetings, orientation or by any other method determined by management.</w:t>
      </w:r>
      <w:r w:rsidDel="00000000" w:rsidR="00000000" w:rsidRPr="00000000">
        <w:rPr>
          <w:rtl w:val="0"/>
        </w:rPr>
      </w:r>
    </w:p>
    <w:p w:rsidR="00000000" w:rsidDel="00000000" w:rsidP="00000000" w:rsidRDefault="00000000" w:rsidRPr="00000000" w14:paraId="00000046">
      <w:pPr>
        <w:widowControl w:val="1"/>
        <w:spacing w:after="0" w:before="0" w:lineRule="auto"/>
        <w:rPr>
          <w:sz w:val="24"/>
          <w:szCs w:val="24"/>
        </w:rPr>
      </w:pPr>
      <w:r w:rsidDel="00000000" w:rsidR="00000000" w:rsidRPr="00000000">
        <w:rPr>
          <w:rtl w:val="0"/>
        </w:rPr>
      </w:r>
    </w:p>
    <w:p w:rsidR="00000000" w:rsidDel="00000000" w:rsidP="00000000" w:rsidRDefault="00000000" w:rsidRPr="00000000" w14:paraId="00000047">
      <w:pPr>
        <w:widowControl w:val="1"/>
        <w:spacing w:after="0" w:before="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048">
      <w:pPr>
        <w:widowControl w:val="1"/>
        <w:spacing w:after="0" w:before="0" w:lineRule="auto"/>
        <w:rPr>
          <w:b w:val="1"/>
          <w:sz w:val="24"/>
          <w:szCs w:val="24"/>
        </w:rPr>
      </w:pPr>
      <w:r w:rsidDel="00000000" w:rsidR="00000000" w:rsidRPr="00000000">
        <w:rPr>
          <w:rtl w:val="0"/>
        </w:rPr>
      </w:r>
    </w:p>
    <w:p w:rsidR="00000000" w:rsidDel="00000000" w:rsidP="00000000" w:rsidRDefault="00000000" w:rsidRPr="00000000" w14:paraId="00000049">
      <w:pPr>
        <w:widowControl w:val="1"/>
        <w:numPr>
          <w:ilvl w:val="0"/>
          <w:numId w:val="2"/>
        </w:numPr>
        <w:spacing w:after="0" w:before="0" w:lineRule="auto"/>
        <w:ind w:left="720" w:hanging="360"/>
        <w:rPr>
          <w:rFonts w:ascii="Calibri" w:cs="Calibri" w:eastAsia="Calibri" w:hAnsi="Calibri"/>
        </w:rPr>
      </w:pPr>
      <w:r w:rsidDel="00000000" w:rsidR="00000000" w:rsidRPr="00000000">
        <w:rPr>
          <w:rtl w:val="0"/>
        </w:rPr>
        <w:t xml:space="preserve">Ensure workers are trained in their roles and responsibilities.</w:t>
      </w:r>
      <w:r w:rsidDel="00000000" w:rsidR="00000000" w:rsidRPr="00000000">
        <w:rPr>
          <w:rtl w:val="0"/>
        </w:rPr>
      </w:r>
    </w:p>
    <w:p w:rsidR="00000000" w:rsidDel="00000000" w:rsidP="00000000" w:rsidRDefault="00000000" w:rsidRPr="00000000" w14:paraId="0000004A">
      <w:pPr>
        <w:widowControl w:val="1"/>
        <w:numPr>
          <w:ilvl w:val="0"/>
          <w:numId w:val="2"/>
        </w:numPr>
        <w:spacing w:after="0" w:before="0" w:lineRule="auto"/>
        <w:ind w:left="720" w:hanging="360"/>
        <w:rPr>
          <w:rFonts w:ascii="Calibri" w:cs="Calibri" w:eastAsia="Calibri" w:hAnsi="Calibri"/>
        </w:rPr>
      </w:pPr>
      <w:r w:rsidDel="00000000" w:rsidR="00000000" w:rsidRPr="00000000">
        <w:rPr>
          <w:rtl w:val="0"/>
        </w:rPr>
        <w:t xml:space="preserve">Train all management to ensure competency.</w:t>
      </w:r>
      <w:r w:rsidDel="00000000" w:rsidR="00000000" w:rsidRPr="00000000">
        <w:rPr>
          <w:rtl w:val="0"/>
        </w:rPr>
      </w:r>
    </w:p>
    <w:p w:rsidR="00000000" w:rsidDel="00000000" w:rsidP="00000000" w:rsidRDefault="00000000" w:rsidRPr="00000000" w14:paraId="0000004B">
      <w:pPr>
        <w:widowControl w:val="1"/>
        <w:numPr>
          <w:ilvl w:val="0"/>
          <w:numId w:val="2"/>
        </w:numPr>
        <w:spacing w:after="0" w:before="0" w:lineRule="auto"/>
        <w:ind w:left="720" w:right="-8" w:hanging="360"/>
        <w:rPr>
          <w:rFonts w:ascii="Calibri" w:cs="Calibri" w:eastAsia="Calibri" w:hAnsi="Calibri"/>
        </w:rPr>
      </w:pPr>
      <w:r w:rsidDel="00000000" w:rsidR="00000000" w:rsidRPr="00000000">
        <w:rPr>
          <w:rtl w:val="0"/>
        </w:rPr>
        <w:t xml:space="preserve">Ensure that all workers are trained on the proper use and maintenance of vehicles, equipment/tools or safety devices.</w:t>
      </w:r>
      <w:r w:rsidDel="00000000" w:rsidR="00000000" w:rsidRPr="00000000">
        <w:rPr>
          <w:rtl w:val="0"/>
        </w:rPr>
      </w:r>
    </w:p>
    <w:p w:rsidR="00000000" w:rsidDel="00000000" w:rsidP="00000000" w:rsidRDefault="00000000" w:rsidRPr="00000000" w14:paraId="0000004C">
      <w:pPr>
        <w:widowControl w:val="1"/>
        <w:spacing w:after="0" w:before="0" w:lineRule="auto"/>
        <w:rPr/>
      </w:pPr>
      <w:r w:rsidDel="00000000" w:rsidR="00000000" w:rsidRPr="00000000">
        <w:rPr>
          <w:rtl w:val="0"/>
        </w:rPr>
      </w:r>
    </w:p>
    <w:p w:rsidR="00000000" w:rsidDel="00000000" w:rsidP="00000000" w:rsidRDefault="00000000" w:rsidRPr="00000000" w14:paraId="0000004D">
      <w:pPr>
        <w:widowControl w:val="1"/>
        <w:spacing w:after="0" w:before="0" w:lineRule="auto"/>
        <w:rPr>
          <w:sz w:val="24"/>
          <w:szCs w:val="24"/>
        </w:rPr>
      </w:pPr>
      <w:r w:rsidDel="00000000" w:rsidR="00000000" w:rsidRPr="00000000">
        <w:rPr>
          <w:rtl w:val="0"/>
        </w:rPr>
        <w:t xml:space="preserve">Training will be provided to workers through safety meetings, one-on-one training or through organized and topic- specific training or by any other means when and where necessary.</w:t>
      </w:r>
      <w:r w:rsidDel="00000000" w:rsidR="00000000" w:rsidRPr="00000000">
        <w:rPr>
          <w:rtl w:val="0"/>
        </w:rPr>
      </w:r>
    </w:p>
    <w:p w:rsidR="00000000" w:rsidDel="00000000" w:rsidP="00000000" w:rsidRDefault="00000000" w:rsidRPr="00000000" w14:paraId="0000004E">
      <w:pPr>
        <w:widowControl w:val="1"/>
        <w:spacing w:after="0" w:before="0" w:lineRule="auto"/>
        <w:rPr>
          <w:sz w:val="24"/>
          <w:szCs w:val="24"/>
        </w:rPr>
      </w:pPr>
      <w:r w:rsidDel="00000000" w:rsidR="00000000" w:rsidRPr="00000000">
        <w:rPr>
          <w:rtl w:val="0"/>
        </w:rPr>
      </w:r>
    </w:p>
    <w:p w:rsidR="00000000" w:rsidDel="00000000" w:rsidP="00000000" w:rsidRDefault="00000000" w:rsidRPr="00000000" w14:paraId="0000004F">
      <w:pPr>
        <w:widowControl w:val="1"/>
        <w:spacing w:after="0" w:before="0" w:lineRule="auto"/>
        <w:rPr>
          <w:sz w:val="26"/>
          <w:szCs w:val="26"/>
        </w:rPr>
      </w:pPr>
      <w:r w:rsidDel="00000000" w:rsidR="00000000" w:rsidRPr="00000000">
        <w:rPr>
          <w:b w:val="1"/>
          <w:sz w:val="24"/>
          <w:szCs w:val="24"/>
          <w:rtl w:val="0"/>
        </w:rPr>
        <w:t xml:space="preserve">Evaluation</w:t>
      </w:r>
      <w:r w:rsidDel="00000000" w:rsidR="00000000" w:rsidRPr="00000000">
        <w:rPr>
          <w:rtl w:val="0"/>
        </w:rPr>
      </w:r>
    </w:p>
    <w:p w:rsidR="00000000" w:rsidDel="00000000" w:rsidP="00000000" w:rsidRDefault="00000000" w:rsidRPr="00000000" w14:paraId="00000050">
      <w:pPr>
        <w:widowControl w:val="1"/>
        <w:spacing w:after="0" w:before="0" w:lineRule="auto"/>
        <w:rPr>
          <w:sz w:val="24"/>
          <w:szCs w:val="24"/>
        </w:rPr>
      </w:pPr>
      <w:r w:rsidDel="00000000" w:rsidR="00000000" w:rsidRPr="00000000">
        <w:rPr>
          <w:rtl w:val="0"/>
        </w:rPr>
      </w:r>
    </w:p>
    <w:p w:rsidR="00000000" w:rsidDel="00000000" w:rsidP="00000000" w:rsidRDefault="00000000" w:rsidRPr="00000000" w14:paraId="00000051">
      <w:pPr>
        <w:widowControl w:val="1"/>
        <w:spacing w:after="0" w:before="0" w:lineRule="auto"/>
        <w:rPr/>
      </w:pPr>
      <w:r w:rsidDel="00000000" w:rsidR="00000000" w:rsidRPr="00000000">
        <w:rPr>
          <w:rtl w:val="0"/>
        </w:rPr>
        <w:t xml:space="preserve">Evaluation of the program will be done on an annual basis.  </w:t>
      </w:r>
    </w:p>
    <w:p w:rsidR="00000000" w:rsidDel="00000000" w:rsidP="00000000" w:rsidRDefault="00000000" w:rsidRPr="00000000" w14:paraId="00000052">
      <w:pPr>
        <w:widowControl w:val="1"/>
        <w:spacing w:after="0" w:before="0" w:lineRule="auto"/>
        <w:rPr>
          <w:sz w:val="24"/>
          <w:szCs w:val="24"/>
        </w:rPr>
      </w:pPr>
      <w:r w:rsidDel="00000000" w:rsidR="00000000" w:rsidRPr="00000000">
        <w:rPr>
          <w:rtl w:val="0"/>
        </w:rPr>
      </w:r>
    </w:p>
    <w:p w:rsidR="00000000" w:rsidDel="00000000" w:rsidP="00000000" w:rsidRDefault="00000000" w:rsidRPr="00000000" w14:paraId="00000053">
      <w:pPr>
        <w:widowControl w:val="1"/>
        <w:spacing w:after="0" w:before="0"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drawing>
        <wp:inline distB="114300" distT="114300" distL="114300" distR="114300">
          <wp:extent cx="2509838" cy="536695"/>
          <wp:effectExtent b="0" l="0" r="0" t="0"/>
          <wp:docPr id="2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VoLUQVGsGZ3r8aWIN2SlAe3/w==">CgMxLjAyCWguM3ZhYzV1ZjgAciExbHh4QmdldUxaLWJmN01hZS1tWURFenN6eW54MGQyTkw=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